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D4144" w14:textId="77777777" w:rsidR="00F954B1" w:rsidRPr="00613BA9" w:rsidRDefault="00690689" w:rsidP="007D34D0">
      <w:pPr>
        <w:pStyle w:val="Pa1"/>
        <w:spacing w:line="180" w:lineRule="exact"/>
        <w:rPr>
          <w:rFonts w:ascii="Calibri" w:hAnsi="Calibri" w:cs="Calibri"/>
          <w:sz w:val="10"/>
          <w:szCs w:val="10"/>
        </w:rPr>
      </w:pPr>
      <w:bookmarkStart w:id="0" w:name="Rozevírací1"/>
      <w:r>
        <w:rPr>
          <w:rFonts w:ascii="Calibri" w:hAnsi="Calibri" w:cs="Calibri"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 wp14:anchorId="38BBC421" wp14:editId="16600945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866775" cy="866775"/>
            <wp:effectExtent l="19050" t="0" r="9525" b="0"/>
            <wp:wrapSquare wrapText="bothSides"/>
            <wp:docPr id="7" name="obrázek 7" descr="pce_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e_logo_cer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DAF7B" w14:textId="77777777" w:rsidR="00434381" w:rsidRPr="00A052EF" w:rsidRDefault="006F40A9" w:rsidP="00613BA9">
      <w:pPr>
        <w:pStyle w:val="Pa1"/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t>Magistrát města Pardubic</w:t>
      </w:r>
    </w:p>
    <w:bookmarkEnd w:id="0"/>
    <w:p w14:paraId="04220377" w14:textId="77777777" w:rsidR="00434381" w:rsidRPr="00A052EF" w:rsidRDefault="001A6D4F" w:rsidP="00613BA9">
      <w:pPr>
        <w:pStyle w:val="Pa1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t xml:space="preserve">Kancelář </w:t>
      </w:r>
      <w:proofErr w:type="gramStart"/>
      <w:r w:rsidRPr="00A052EF">
        <w:rPr>
          <w:rFonts w:ascii="Calibri" w:hAnsi="Calibri" w:cs="Calibri"/>
          <w:b/>
          <w:sz w:val="16"/>
          <w:szCs w:val="16"/>
        </w:rPr>
        <w:t>primátora</w:t>
      </w:r>
      <w:r w:rsidR="00A052EF">
        <w:rPr>
          <w:rFonts w:ascii="Calibri" w:hAnsi="Calibri" w:cs="Calibri"/>
          <w:b/>
          <w:sz w:val="16"/>
          <w:szCs w:val="16"/>
        </w:rPr>
        <w:t xml:space="preserve"> </w:t>
      </w:r>
      <w:r w:rsidRPr="00A052EF">
        <w:rPr>
          <w:rFonts w:ascii="Calibri" w:hAnsi="Calibri" w:cs="Calibri"/>
          <w:b/>
          <w:sz w:val="16"/>
          <w:szCs w:val="16"/>
        </w:rPr>
        <w:t xml:space="preserve"> </w:t>
      </w:r>
      <w:r w:rsidR="006F40A9" w:rsidRPr="00A052EF">
        <w:rPr>
          <w:rFonts w:ascii="Calibri" w:hAnsi="Calibri" w:cs="Calibri"/>
          <w:b/>
          <w:sz w:val="16"/>
          <w:szCs w:val="16"/>
        </w:rPr>
        <w:t>|</w:t>
      </w:r>
      <w:proofErr w:type="gramEnd"/>
      <w:r w:rsidR="00A052EF">
        <w:rPr>
          <w:rFonts w:ascii="Calibri" w:hAnsi="Calibri" w:cs="Calibri"/>
          <w:b/>
          <w:sz w:val="16"/>
          <w:szCs w:val="16"/>
        </w:rPr>
        <w:t xml:space="preserve"> </w:t>
      </w:r>
      <w:r w:rsidR="006F40A9" w:rsidRPr="00A052EF">
        <w:rPr>
          <w:rFonts w:ascii="Calibri" w:hAnsi="Calibri" w:cs="Calibri"/>
          <w:b/>
          <w:sz w:val="16"/>
          <w:szCs w:val="16"/>
        </w:rPr>
        <w:t xml:space="preserve"> </w:t>
      </w:r>
      <w:r w:rsidR="004859DC" w:rsidRPr="00A052EF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4"/>
              <w:listEntry w:val="-- Vyberte oddělení nebo úsek --"/>
              <w:listEntry w:val="----------"/>
              <w:listEntry w:val="Organizační oddělení"/>
              <w:listEntry w:val="Oddělení krizového řízení"/>
              <w:listEntry w:val="tiskový úsek"/>
              <w:listEntry w:val="úsek vnějších vztahů"/>
              <w:listEntry w:val="Oddělení strategického rozvoje města"/>
            </w:ddList>
          </w:ffData>
        </w:fldChar>
      </w:r>
      <w:r w:rsidR="004859DC" w:rsidRPr="00A052EF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8B2960">
        <w:rPr>
          <w:rFonts w:ascii="Calibri" w:hAnsi="Calibri" w:cs="Calibri"/>
          <w:b/>
          <w:sz w:val="16"/>
          <w:szCs w:val="16"/>
        </w:rPr>
      </w:r>
      <w:r w:rsidR="008B2960">
        <w:rPr>
          <w:rFonts w:ascii="Calibri" w:hAnsi="Calibri" w:cs="Calibri"/>
          <w:b/>
          <w:sz w:val="16"/>
          <w:szCs w:val="16"/>
        </w:rPr>
        <w:fldChar w:fldCharType="separate"/>
      </w:r>
      <w:r w:rsidR="004859DC" w:rsidRPr="00A052EF">
        <w:rPr>
          <w:rFonts w:ascii="Calibri" w:hAnsi="Calibri" w:cs="Calibri"/>
          <w:b/>
          <w:sz w:val="16"/>
          <w:szCs w:val="16"/>
        </w:rPr>
        <w:fldChar w:fldCharType="end"/>
      </w:r>
    </w:p>
    <w:p w14:paraId="27EB906C" w14:textId="77777777" w:rsidR="008B0D39" w:rsidRPr="00A052EF" w:rsidRDefault="004859DC" w:rsidP="00613BA9">
      <w:pPr>
        <w:pStyle w:val="Default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A052EF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2"/>
              <w:listEntry w:val="-- Vyberte adresu --"/>
              <w:listEntry w:val="----------"/>
              <w:listEntry w:val="Pernštýnské nám. 1, 530 21 Pardubice"/>
              <w:listEntry w:val="nám. Republiky 12, 530 21 Pardubice"/>
              <w:listEntry w:val="Štrossova 44, 530 21 Pardubice"/>
              <w:listEntry w:val="17. listopadu 303, 530 21 Pardubice"/>
              <w:listEntry w:val="U Divadla 828, 530 21 Pardubice"/>
              <w:listEntry w:val="Gorkého 489, 530 21 Pardubice"/>
              <w:listEntry w:val="Komenského nám. 120, 530 21 Pardubice"/>
              <w:listEntry w:val="Černá za Bory - Průmyslová 381, 533 01 Pardubice"/>
            </w:ddList>
          </w:ffData>
        </w:fldChar>
      </w:r>
      <w:r w:rsidRPr="00A052EF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8B2960">
        <w:rPr>
          <w:rFonts w:ascii="Calibri" w:hAnsi="Calibri" w:cs="Calibri"/>
          <w:b/>
          <w:sz w:val="16"/>
          <w:szCs w:val="16"/>
        </w:rPr>
      </w:r>
      <w:r w:rsidR="008B2960">
        <w:rPr>
          <w:rFonts w:ascii="Calibri" w:hAnsi="Calibri" w:cs="Calibri"/>
          <w:b/>
          <w:sz w:val="16"/>
          <w:szCs w:val="16"/>
        </w:rPr>
        <w:fldChar w:fldCharType="separate"/>
      </w:r>
      <w:r w:rsidRPr="00A052EF">
        <w:rPr>
          <w:rFonts w:ascii="Calibri" w:hAnsi="Calibri" w:cs="Calibri"/>
          <w:b/>
          <w:sz w:val="16"/>
          <w:szCs w:val="16"/>
        </w:rPr>
        <w:fldChar w:fldCharType="end"/>
      </w:r>
    </w:p>
    <w:p w14:paraId="13104ED0" w14:textId="77777777" w:rsidR="00FE320E" w:rsidRDefault="00FE320E" w:rsidP="00FF1FC0">
      <w:pPr>
        <w:rPr>
          <w:rFonts w:ascii="Calibri" w:hAnsi="Calibri" w:cs="Calibri"/>
          <w:sz w:val="18"/>
          <w:szCs w:val="18"/>
        </w:rPr>
        <w:sectPr w:rsidR="00FE320E" w:rsidSect="004B46C5"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454" w:right="1304" w:bottom="2381" w:left="1304" w:header="0" w:footer="252" w:gutter="0"/>
          <w:cols w:space="708"/>
          <w:noEndnote/>
          <w:docGrid w:linePitch="326"/>
        </w:sectPr>
      </w:pPr>
    </w:p>
    <w:p w14:paraId="73AC314A" w14:textId="77777777" w:rsidR="00434381" w:rsidRDefault="00434381" w:rsidP="00FF1FC0">
      <w:pPr>
        <w:rPr>
          <w:rFonts w:ascii="Calibri" w:hAnsi="Calibri" w:cs="Calibri"/>
          <w:sz w:val="18"/>
          <w:szCs w:val="18"/>
        </w:rPr>
      </w:pPr>
    </w:p>
    <w:p w14:paraId="2FEBD8C6" w14:textId="77777777" w:rsidR="00C7085D" w:rsidRDefault="00C7085D" w:rsidP="00FF1FC0">
      <w:pPr>
        <w:rPr>
          <w:rFonts w:ascii="Calibri" w:hAnsi="Calibri" w:cs="Calibri"/>
          <w:sz w:val="18"/>
          <w:szCs w:val="18"/>
        </w:rPr>
      </w:pPr>
    </w:p>
    <w:p w14:paraId="05E7E532" w14:textId="77777777" w:rsidR="00250D44" w:rsidRDefault="00250D44" w:rsidP="00FF1FC0">
      <w:pPr>
        <w:rPr>
          <w:rFonts w:ascii="Calibri" w:hAnsi="Calibri" w:cs="Calibri"/>
          <w:sz w:val="18"/>
          <w:szCs w:val="18"/>
        </w:rPr>
      </w:pPr>
    </w:p>
    <w:p w14:paraId="2C506AA9" w14:textId="482283C7" w:rsidR="00250D44" w:rsidRDefault="004E260B" w:rsidP="00FF1FC0">
      <w:pPr>
        <w:rPr>
          <w:rFonts w:ascii="Calibri" w:hAnsi="Calibri" w:cs="Calibri"/>
          <w:sz w:val="18"/>
          <w:szCs w:val="18"/>
        </w:rPr>
      </w:pPr>
      <w:r w:rsidRPr="004E260B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23660807" wp14:editId="0D45B395">
            <wp:extent cx="1562100" cy="531580"/>
            <wp:effectExtent l="0" t="0" r="0" b="1905"/>
            <wp:docPr id="1" name="Obrázek 1" descr="C:\Users\notebook\AppData\Local\Temp\Temp1_Linkcity - cmyk.zip\Linkcity - cmyk\logo Linkcit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Temp\Temp1_Linkcity - cmyk.zip\Linkcity - cmyk\logo Linkcity cmy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02" cy="5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916A" w14:textId="77777777" w:rsidR="006C3D7C" w:rsidRDefault="006C3D7C" w:rsidP="00FF1FC0">
      <w:pPr>
        <w:rPr>
          <w:rFonts w:ascii="Calibri" w:hAnsi="Calibri" w:cs="Calibri"/>
          <w:sz w:val="18"/>
          <w:szCs w:val="18"/>
        </w:rPr>
      </w:pPr>
    </w:p>
    <w:p w14:paraId="5D8F55F0" w14:textId="77777777" w:rsidR="00C7085D" w:rsidRPr="00022125" w:rsidRDefault="00C7085D" w:rsidP="00FF1FC0">
      <w:pPr>
        <w:rPr>
          <w:rFonts w:ascii="Calibri" w:hAnsi="Calibri" w:cs="Calibri"/>
          <w:sz w:val="18"/>
          <w:szCs w:val="18"/>
        </w:rPr>
      </w:pPr>
    </w:p>
    <w:p w14:paraId="5EE0CE7F" w14:textId="77777777" w:rsidR="00C816EE" w:rsidRDefault="00C816EE" w:rsidP="00FF1FC0">
      <w:pPr>
        <w:rPr>
          <w:rFonts w:ascii="Calibri" w:hAnsi="Calibri" w:cs="Calibri"/>
          <w:sz w:val="18"/>
          <w:szCs w:val="18"/>
        </w:rPr>
      </w:pPr>
    </w:p>
    <w:p w14:paraId="715ED711" w14:textId="77777777" w:rsidR="00C816EE" w:rsidRPr="00DD2E64" w:rsidRDefault="004A275C" w:rsidP="007C4EF3">
      <w:pPr>
        <w:rPr>
          <w:rFonts w:ascii="Calibri" w:hAnsi="Calibri" w:cs="Calibri"/>
          <w:sz w:val="32"/>
          <w:szCs w:val="32"/>
        </w:rPr>
      </w:pPr>
      <w:r w:rsidRPr="004A275C">
        <w:rPr>
          <w:rFonts w:ascii="Calibri" w:hAnsi="Calibri" w:cs="Calibri"/>
          <w:sz w:val="32"/>
          <w:szCs w:val="32"/>
        </w:rPr>
        <w:t>TISKOVÁ ZPRÁVA</w:t>
      </w:r>
    </w:p>
    <w:p w14:paraId="5E6DADD2" w14:textId="77777777" w:rsidR="00250D44" w:rsidRDefault="00250D44" w:rsidP="007C4EF3">
      <w:pPr>
        <w:tabs>
          <w:tab w:val="left" w:pos="1457"/>
        </w:tabs>
        <w:spacing w:line="280" w:lineRule="exact"/>
        <w:jc w:val="right"/>
        <w:rPr>
          <w:rFonts w:ascii="Calibri" w:hAnsi="Calibri" w:cs="Calibri"/>
          <w:sz w:val="22"/>
          <w:szCs w:val="22"/>
        </w:rPr>
      </w:pPr>
    </w:p>
    <w:p w14:paraId="30B23ADD" w14:textId="77777777" w:rsidR="006C3D7C" w:rsidRDefault="006C3D7C" w:rsidP="007C4EF3">
      <w:pPr>
        <w:tabs>
          <w:tab w:val="left" w:pos="1457"/>
        </w:tabs>
        <w:spacing w:line="280" w:lineRule="exact"/>
        <w:jc w:val="right"/>
        <w:rPr>
          <w:rFonts w:ascii="Calibri" w:hAnsi="Calibri" w:cs="Calibri"/>
          <w:sz w:val="22"/>
          <w:szCs w:val="22"/>
        </w:rPr>
      </w:pPr>
    </w:p>
    <w:p w14:paraId="40890781" w14:textId="77777777" w:rsidR="00250D44" w:rsidRDefault="00250D44" w:rsidP="007C4EF3">
      <w:pPr>
        <w:tabs>
          <w:tab w:val="left" w:pos="1457"/>
        </w:tabs>
        <w:spacing w:line="280" w:lineRule="exact"/>
        <w:jc w:val="right"/>
        <w:rPr>
          <w:rFonts w:ascii="Calibri" w:hAnsi="Calibri" w:cs="Calibri"/>
          <w:sz w:val="22"/>
          <w:szCs w:val="22"/>
        </w:rPr>
      </w:pPr>
    </w:p>
    <w:p w14:paraId="63F1A3D2" w14:textId="226AD6E3" w:rsidR="006C3D7C" w:rsidRDefault="00C6486E" w:rsidP="00E26811">
      <w:pPr>
        <w:tabs>
          <w:tab w:val="left" w:pos="1457"/>
        </w:tabs>
        <w:spacing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FE0A2D">
        <w:rPr>
          <w:rFonts w:ascii="Calibri" w:hAnsi="Calibri" w:cs="Calibri"/>
          <w:sz w:val="22"/>
          <w:szCs w:val="22"/>
        </w:rPr>
        <w:t xml:space="preserve">V Pardubicích dne </w:t>
      </w:r>
      <w:r w:rsidR="00587626">
        <w:rPr>
          <w:rFonts w:ascii="Calibri" w:hAnsi="Calibri" w:cs="Calibri"/>
          <w:sz w:val="22"/>
          <w:szCs w:val="22"/>
        </w:rPr>
        <w:t>23</w:t>
      </w:r>
      <w:r w:rsidR="008A00DE">
        <w:rPr>
          <w:rFonts w:ascii="Calibri" w:hAnsi="Calibri" w:cs="Calibri"/>
          <w:sz w:val="22"/>
          <w:szCs w:val="22"/>
        </w:rPr>
        <w:t xml:space="preserve">. </w:t>
      </w:r>
      <w:r w:rsidR="00587626">
        <w:rPr>
          <w:rFonts w:ascii="Calibri" w:hAnsi="Calibri" w:cs="Calibri"/>
          <w:sz w:val="22"/>
          <w:szCs w:val="22"/>
        </w:rPr>
        <w:t>března</w:t>
      </w:r>
      <w:r w:rsidR="0062490D">
        <w:rPr>
          <w:rFonts w:ascii="Calibri" w:hAnsi="Calibri" w:cs="Calibri"/>
          <w:sz w:val="22"/>
          <w:szCs w:val="22"/>
        </w:rPr>
        <w:t xml:space="preserve"> 202</w:t>
      </w:r>
      <w:r w:rsidR="007958A3">
        <w:rPr>
          <w:rFonts w:ascii="Calibri" w:hAnsi="Calibri" w:cs="Calibri"/>
          <w:sz w:val="22"/>
          <w:szCs w:val="22"/>
        </w:rPr>
        <w:t>1</w:t>
      </w:r>
    </w:p>
    <w:p w14:paraId="57AC5621" w14:textId="77777777" w:rsidR="00701DF5" w:rsidRDefault="00701DF5" w:rsidP="00701D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1E221B" w14:textId="1A82E2EB" w:rsidR="00701DF5" w:rsidRPr="00D0012F" w:rsidRDefault="00701DF5" w:rsidP="00701D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Areál pardubické</w:t>
      </w:r>
      <w:r w:rsidRPr="00D001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Tesl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y</w:t>
      </w:r>
      <w:r w:rsidRPr="00D001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Kyjevská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získává</w:t>
      </w:r>
      <w:r w:rsidRPr="00D001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nového maj</w:t>
      </w:r>
      <w:r w:rsidR="0020076A">
        <w:rPr>
          <w:rFonts w:asciiTheme="minorHAnsi" w:hAnsiTheme="minorHAnsi" w:cstheme="minorHAnsi"/>
          <w:b/>
          <w:bCs/>
          <w:sz w:val="22"/>
          <w:szCs w:val="22"/>
          <w:u w:val="single"/>
        </w:rPr>
        <w:t>itele</w:t>
      </w:r>
    </w:p>
    <w:p w14:paraId="310F3B9A" w14:textId="77777777" w:rsidR="00701DF5" w:rsidRPr="00D0012F" w:rsidRDefault="00701DF5" w:rsidP="00701D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E5BF6" w14:textId="6C48E8B3" w:rsidR="00701DF5" w:rsidRPr="00D0012F" w:rsidRDefault="00701DF5" w:rsidP="007363D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Město Pardubice </w:t>
      </w:r>
      <w:r>
        <w:rPr>
          <w:rFonts w:asciiTheme="minorHAnsi" w:hAnsiTheme="minorHAnsi" w:cstheme="minorHAnsi"/>
          <w:b/>
          <w:bCs/>
          <w:sz w:val="22"/>
          <w:szCs w:val="22"/>
        </w:rPr>
        <w:t>převádí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 jeden ze svých největších brownfieldů, areál bývalé Tesly Kyjevská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 novému majiteli. Firma </w:t>
      </w:r>
      <w:proofErr w:type="spellStart"/>
      <w:r w:rsidRPr="00D0012F">
        <w:rPr>
          <w:rFonts w:asciiTheme="minorHAnsi" w:hAnsiTheme="minorHAnsi" w:cstheme="minorHAnsi"/>
          <w:b/>
          <w:bCs/>
          <w:sz w:val="22"/>
          <w:szCs w:val="22"/>
        </w:rPr>
        <w:t>Linkcity</w:t>
      </w:r>
      <w:proofErr w:type="spellEnd"/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 Czech Republi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, se kterou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 rámci včerejšího setkání 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zástupci města slavnostně </w:t>
      </w:r>
      <w:bookmarkStart w:id="1" w:name="_Hlk67379245"/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podepsali </w:t>
      </w:r>
      <w:r>
        <w:rPr>
          <w:rFonts w:asciiTheme="minorHAnsi" w:hAnsiTheme="minorHAnsi" w:cstheme="minorHAnsi"/>
          <w:b/>
          <w:bCs/>
          <w:sz w:val="22"/>
          <w:szCs w:val="22"/>
        </w:rPr>
        <w:t>smlouvu o složení peněžních prostředk</w:t>
      </w:r>
      <w:r w:rsidR="0020076A">
        <w:rPr>
          <w:rFonts w:asciiTheme="minorHAnsi" w:hAnsiTheme="minorHAnsi" w:cstheme="minorHAnsi"/>
          <w:b/>
          <w:bCs/>
          <w:sz w:val="22"/>
          <w:szCs w:val="22"/>
        </w:rPr>
        <w:t>ů,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 se tak může pustit do přestavby tohoto </w:t>
      </w:r>
      <w:bookmarkEnd w:id="1"/>
      <w:r w:rsidRPr="00D0012F">
        <w:rPr>
          <w:rFonts w:asciiTheme="minorHAnsi" w:hAnsiTheme="minorHAnsi" w:cstheme="minorHAnsi"/>
          <w:b/>
          <w:bCs/>
          <w:sz w:val="22"/>
          <w:szCs w:val="22"/>
        </w:rPr>
        <w:t>území na</w:t>
      </w:r>
      <w:r w:rsidR="004E260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>moderní pardubickou čtvrť a vdechnout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tak</w:t>
      </w:r>
      <w:r w:rsidRPr="00D0012F">
        <w:rPr>
          <w:rFonts w:asciiTheme="minorHAnsi" w:hAnsiTheme="minorHAnsi" w:cstheme="minorHAnsi"/>
          <w:b/>
          <w:bCs/>
          <w:sz w:val="22"/>
          <w:szCs w:val="22"/>
        </w:rPr>
        <w:t xml:space="preserve"> areálu nový život. </w:t>
      </w:r>
    </w:p>
    <w:p w14:paraId="14CABE1E" w14:textId="78C65314" w:rsidR="00701DF5" w:rsidRPr="00D0012F" w:rsidRDefault="00701DF5" w:rsidP="007363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260B">
        <w:rPr>
          <w:rFonts w:asciiTheme="minorHAnsi" w:hAnsiTheme="minorHAnsi" w:cstheme="minorHAnsi"/>
          <w:i/>
          <w:sz w:val="22"/>
          <w:szCs w:val="22"/>
        </w:rPr>
        <w:t xml:space="preserve">„Město řeší budoucnost areálu Tesla Kyjevská již několik let, jsem proto velmi rád, že se nám spolu s firmou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 Czech Republic podařilo dotáhnout projekt do této fáze, kdy jsme se tu sešli u podpisu finálních smluv. Věřím, že se zde developerovi podaří vytvořit místo, které bude pro lidi atraktivní a</w:t>
      </w:r>
      <w:r w:rsidR="004E260B" w:rsidRPr="004E260B">
        <w:rPr>
          <w:rFonts w:asciiTheme="minorHAnsi" w:hAnsiTheme="minorHAnsi" w:cstheme="minorHAnsi"/>
          <w:i/>
          <w:sz w:val="22"/>
          <w:szCs w:val="22"/>
        </w:rPr>
        <w:t> </w:t>
      </w:r>
      <w:r w:rsidRPr="004E260B">
        <w:rPr>
          <w:rFonts w:asciiTheme="minorHAnsi" w:hAnsiTheme="minorHAnsi" w:cstheme="minorHAnsi"/>
          <w:i/>
          <w:sz w:val="22"/>
          <w:szCs w:val="22"/>
        </w:rPr>
        <w:t>lákavé nejen z hlediska bydlení, ale i volnočasových aktivit, a chtěl bych jim za tuto spolupráci moc poděkovat. Objekt Telegrafie bude navíc zachován a převeden do majetku Univerzity Pardubice, která</w:t>
      </w:r>
      <w:r w:rsidR="004E260B" w:rsidRPr="004E260B">
        <w:rPr>
          <w:rFonts w:asciiTheme="minorHAnsi" w:hAnsiTheme="minorHAnsi" w:cstheme="minorHAnsi"/>
          <w:i/>
          <w:sz w:val="22"/>
          <w:szCs w:val="22"/>
        </w:rPr>
        <w:t> </w:t>
      </w:r>
      <w:r w:rsidRPr="004E260B">
        <w:rPr>
          <w:rFonts w:asciiTheme="minorHAnsi" w:hAnsiTheme="minorHAnsi" w:cstheme="minorHAnsi"/>
          <w:i/>
          <w:sz w:val="22"/>
          <w:szCs w:val="22"/>
        </w:rPr>
        <w:t>se tak stane dalším klíčovým partnerem v tomto území,“</w:t>
      </w:r>
      <w:r w:rsidRPr="00D0012F">
        <w:rPr>
          <w:rFonts w:asciiTheme="minorHAnsi" w:hAnsiTheme="minorHAnsi" w:cstheme="minorHAnsi"/>
          <w:sz w:val="22"/>
          <w:szCs w:val="22"/>
        </w:rPr>
        <w:t xml:space="preserve"> konstatuje </w:t>
      </w:r>
      <w:r w:rsidRPr="004E260B">
        <w:rPr>
          <w:rFonts w:asciiTheme="minorHAnsi" w:hAnsiTheme="minorHAnsi" w:cstheme="minorHAnsi"/>
          <w:b/>
          <w:sz w:val="22"/>
          <w:szCs w:val="22"/>
        </w:rPr>
        <w:t>primátor Pardubic Martin Charvát</w:t>
      </w:r>
      <w:r w:rsidRPr="00D0012F">
        <w:rPr>
          <w:rFonts w:asciiTheme="minorHAnsi" w:hAnsiTheme="minorHAnsi" w:cstheme="minorHAnsi"/>
          <w:sz w:val="22"/>
          <w:szCs w:val="22"/>
        </w:rPr>
        <w:t>.</w:t>
      </w:r>
    </w:p>
    <w:p w14:paraId="40EC3EE5" w14:textId="7A1D2E7A" w:rsidR="00701DF5" w:rsidRDefault="00701DF5" w:rsidP="007363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7312843"/>
      <w:r w:rsidRPr="00D0012F">
        <w:rPr>
          <w:rFonts w:asciiTheme="minorHAnsi" w:hAnsiTheme="minorHAnsi" w:cstheme="minorHAnsi"/>
          <w:sz w:val="22"/>
          <w:szCs w:val="22"/>
        </w:rPr>
        <w:t xml:space="preserve">Nejen ve způsobu, jakým developer pojal proměnu tohoto území, ale také v přípravě výběrového řízení město vidí ideální řešení, jak k revitalizaci brownfieldů a hledání developerů do budoucna přistupovat. </w:t>
      </w:r>
      <w:r w:rsidRPr="004E260B">
        <w:rPr>
          <w:rFonts w:asciiTheme="minorHAnsi" w:hAnsiTheme="minorHAnsi" w:cstheme="minorHAnsi"/>
          <w:i/>
          <w:sz w:val="22"/>
          <w:szCs w:val="22"/>
        </w:rPr>
        <w:t>„Cílem týmu, který připravoval výběrové řízení, bylo vypracovat ve spolupráci s externími poradci takové podmínky zadávací dokumentace, které umožní městu Pardubice dosáhnout stanoveného cíle, tedy</w:t>
      </w:r>
      <w:r w:rsidR="004E260B">
        <w:rPr>
          <w:rFonts w:asciiTheme="minorHAnsi" w:hAnsiTheme="minorHAnsi" w:cstheme="minorHAnsi"/>
          <w:i/>
          <w:sz w:val="22"/>
          <w:szCs w:val="22"/>
        </w:rPr>
        <w:t> </w:t>
      </w:r>
      <w:r w:rsidRPr="004E260B">
        <w:rPr>
          <w:rFonts w:asciiTheme="minorHAnsi" w:hAnsiTheme="minorHAnsi" w:cstheme="minorHAnsi"/>
          <w:i/>
          <w:sz w:val="22"/>
          <w:szCs w:val="22"/>
        </w:rPr>
        <w:t>získat vhodného developera pro vybrané území. Věřím, že podobně se nám podaří vyřešit osud dalších brownfieldů na území města, ať už se jedná o Masarykova kasárna či areál Hůrka,“</w:t>
      </w:r>
      <w:r w:rsidRPr="00D0012F">
        <w:rPr>
          <w:rFonts w:asciiTheme="minorHAnsi" w:hAnsiTheme="minorHAnsi" w:cstheme="minorHAnsi"/>
          <w:sz w:val="22"/>
          <w:szCs w:val="22"/>
        </w:rPr>
        <w:t xml:space="preserve"> dodává </w:t>
      </w:r>
      <w:r w:rsidRPr="004E260B">
        <w:rPr>
          <w:rFonts w:asciiTheme="minorHAnsi" w:hAnsiTheme="minorHAnsi" w:cstheme="minorHAnsi"/>
          <w:b/>
          <w:sz w:val="22"/>
          <w:szCs w:val="22"/>
        </w:rPr>
        <w:t>náměstek primátora zodpovědný za oblast rozvoje a strategie Jan Nadrchal</w:t>
      </w:r>
      <w:r w:rsidRPr="00D001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35A14C" w14:textId="77777777" w:rsidR="00701DF5" w:rsidRPr="004E260B" w:rsidRDefault="00701DF5" w:rsidP="007363DF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_Hlk67339821"/>
      <w:r w:rsidRPr="007663EC">
        <w:rPr>
          <w:rFonts w:asciiTheme="minorHAnsi" w:hAnsiTheme="minorHAnsi" w:cstheme="minorHAnsi"/>
          <w:sz w:val="22"/>
          <w:szCs w:val="22"/>
        </w:rPr>
        <w:t xml:space="preserve">Hledání cest, jak navrátit smysl nevyužitým městským brownfieldům, patří k současným trendům udržitelné výstavby. Plány developera </w:t>
      </w:r>
      <w:proofErr w:type="spellStart"/>
      <w:r w:rsidRPr="007663EC">
        <w:rPr>
          <w:rFonts w:asciiTheme="minorHAnsi" w:hAnsiTheme="minorHAnsi" w:cstheme="minorHAnsi"/>
          <w:sz w:val="22"/>
          <w:szCs w:val="22"/>
        </w:rPr>
        <w:t>Linkcity</w:t>
      </w:r>
      <w:proofErr w:type="spellEnd"/>
      <w:r w:rsidRPr="007663EC">
        <w:rPr>
          <w:rFonts w:asciiTheme="minorHAnsi" w:hAnsiTheme="minorHAnsi" w:cstheme="minorHAnsi"/>
          <w:sz w:val="22"/>
          <w:szCs w:val="22"/>
        </w:rPr>
        <w:t xml:space="preserve"> v Pardubicích </w:t>
      </w:r>
      <w:r w:rsidRPr="004E260B">
        <w:rPr>
          <w:rFonts w:asciiTheme="minorHAnsi" w:hAnsiTheme="minorHAnsi" w:cstheme="minorHAnsi"/>
          <w:sz w:val="22"/>
          <w:szCs w:val="22"/>
        </w:rPr>
        <w:t>přibližuje</w:t>
      </w:r>
      <w:r w:rsidRPr="004E260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E260B">
        <w:rPr>
          <w:rFonts w:asciiTheme="minorHAnsi" w:hAnsiTheme="minorHAnsi" w:cstheme="minorHAnsi"/>
          <w:b/>
          <w:sz w:val="22"/>
          <w:szCs w:val="22"/>
        </w:rPr>
        <w:t>Clément</w:t>
      </w:r>
      <w:proofErr w:type="spellEnd"/>
      <w:r w:rsidRPr="004E260B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Pr="004E260B">
        <w:rPr>
          <w:rFonts w:asciiTheme="minorHAnsi" w:hAnsiTheme="minorHAnsi" w:cstheme="minorHAnsi"/>
          <w:b/>
          <w:sz w:val="22"/>
          <w:szCs w:val="22"/>
        </w:rPr>
        <w:t>Lageneste</w:t>
      </w:r>
      <w:proofErr w:type="spellEnd"/>
      <w:r w:rsidRPr="004E260B">
        <w:rPr>
          <w:rFonts w:asciiTheme="minorHAnsi" w:hAnsiTheme="minorHAnsi" w:cstheme="minorHAnsi"/>
          <w:b/>
          <w:sz w:val="22"/>
          <w:szCs w:val="22"/>
        </w:rPr>
        <w:t>, generální ředitel společnosti</w:t>
      </w:r>
      <w:r w:rsidRPr="007663EC">
        <w:rPr>
          <w:rFonts w:asciiTheme="minorHAnsi" w:hAnsiTheme="minorHAnsi" w:cstheme="minorHAnsi"/>
          <w:sz w:val="22"/>
          <w:szCs w:val="22"/>
        </w:rPr>
        <w:t xml:space="preserve">: </w:t>
      </w:r>
      <w:r w:rsidRPr="004E260B">
        <w:rPr>
          <w:rFonts w:asciiTheme="minorHAnsi" w:hAnsiTheme="minorHAnsi" w:cstheme="minorHAnsi"/>
          <w:i/>
          <w:sz w:val="22"/>
          <w:szCs w:val="22"/>
        </w:rPr>
        <w:t xml:space="preserve">„Velice si vážíme důvěry, které se nám dostalo od města Pardubice již před dvěma lety, kdy se rozhodlo svěřit revitalizaci tohoto areálu společnosti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. Stejně tak oceňujeme jeho podporu v průběhu celé přípravné fáze. Domnívám se, že se jedná o ukázkový způsob spolupráce mezi developerem a městem, při kterém jsou respektovány a vybalancovány zájmy města při plánování výstavby i cíle developera. Na revitalizaci brownfieldu pardubické Tesly jsme v posledních letech </w:t>
      </w:r>
      <w:r w:rsidRPr="004E260B">
        <w:rPr>
          <w:rFonts w:asciiTheme="minorHAnsi" w:hAnsiTheme="minorHAnsi" w:cstheme="minorHAnsi"/>
          <w:i/>
          <w:sz w:val="22"/>
          <w:szCs w:val="22"/>
        </w:rPr>
        <w:lastRenderedPageBreak/>
        <w:t xml:space="preserve">intenzivně pracovali. Podpis smlouvy nás posouvá od příprav a plánování k realizaci, a tak budou moci obyvatelé Pardubic již brzy zaznamenat první stavební změny v areálu. V následujících dnech začne jeho vyklízení a příprava pro výstavbu nových objektů, kterou zahájíme v červnu. Lokalitu čeká komplexní revitalizace, aby mohla znovu ožít a opět se stát funkční částí města. V rámci projektu </w:t>
      </w:r>
      <w:r w:rsidRPr="004E260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Čtvrť Nová Tesla </w:t>
      </w:r>
      <w:r w:rsidRPr="004E260B">
        <w:rPr>
          <w:rFonts w:asciiTheme="minorHAnsi" w:hAnsiTheme="minorHAnsi" w:cstheme="minorHAnsi"/>
          <w:i/>
          <w:sz w:val="22"/>
          <w:szCs w:val="22"/>
        </w:rPr>
        <w:t>vybudujeme novou rezidenční čtvrť s 250 byty, supermarketem a 10 řadovými domy citlivě navazujícími na okolní zástavbu. Součástí bude také náměstí s mobiliářem, další komerční prostory a nový parkovací dům, který by měl ulevit dopravně vysoce exponované lokalitě u Pardubické nemocnice.“</w:t>
      </w:r>
    </w:p>
    <w:bookmarkEnd w:id="2"/>
    <w:bookmarkEnd w:id="3"/>
    <w:p w14:paraId="0776612B" w14:textId="77777777" w:rsidR="001B1B47" w:rsidRDefault="00701DF5" w:rsidP="007363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012F">
        <w:rPr>
          <w:rFonts w:asciiTheme="minorHAnsi" w:hAnsiTheme="minorHAnsi" w:cstheme="minorHAnsi"/>
          <w:sz w:val="22"/>
          <w:szCs w:val="22"/>
        </w:rPr>
        <w:t>Město za prodej tohoto území získá</w:t>
      </w:r>
      <w:r w:rsidR="0020076A">
        <w:rPr>
          <w:rStyle w:val="Odkaznakoment"/>
        </w:rPr>
        <w:t xml:space="preserve"> </w:t>
      </w:r>
      <w:r w:rsidRPr="00D0012F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> 07</w:t>
      </w:r>
      <w:r w:rsidR="0020076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638 korun</w:t>
      </w:r>
      <w:r w:rsidRPr="00D0012F">
        <w:rPr>
          <w:rFonts w:asciiTheme="minorHAnsi" w:hAnsiTheme="minorHAnsi" w:cstheme="minorHAnsi"/>
          <w:sz w:val="22"/>
          <w:szCs w:val="22"/>
        </w:rPr>
        <w:t>, přičemž 40 procent z této částky připadne Pardubickému kraji, který se na základě vzájemné spolupráce s městem Pardubice zavázal tyto finanční prostředky investovat do dopravní infrastruktury v areálu Pardubické nemocnice a jejího napojení na</w:t>
      </w:r>
      <w:r w:rsidR="004E260B">
        <w:rPr>
          <w:rFonts w:asciiTheme="minorHAnsi" w:hAnsiTheme="minorHAnsi" w:cstheme="minorHAnsi"/>
          <w:sz w:val="22"/>
          <w:szCs w:val="22"/>
        </w:rPr>
        <w:t> </w:t>
      </w:r>
      <w:r w:rsidRPr="00D0012F">
        <w:rPr>
          <w:rFonts w:asciiTheme="minorHAnsi" w:hAnsiTheme="minorHAnsi" w:cstheme="minorHAnsi"/>
          <w:sz w:val="22"/>
          <w:szCs w:val="22"/>
        </w:rPr>
        <w:t xml:space="preserve">nadjezd Kyjevská. </w:t>
      </w:r>
    </w:p>
    <w:p w14:paraId="7A6880AE" w14:textId="77777777" w:rsidR="001B1B47" w:rsidRDefault="001B1B47" w:rsidP="007363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6245">
        <w:rPr>
          <w:noProof/>
        </w:rPr>
        <w:drawing>
          <wp:inline distT="0" distB="0" distL="0" distR="0" wp14:anchorId="7E62122F" wp14:editId="13608F5C">
            <wp:extent cx="3228975" cy="2018109"/>
            <wp:effectExtent l="0" t="0" r="0" b="1270"/>
            <wp:docPr id="2" name="Obrázek 2" descr="C:\Users\notebook\Desktop\Linkcity - Tesla Pardubice - podpis smlouvy\Výběr na tiskové středisko\Revitalizace Tesla Pardubice_podpis smlouv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Linkcity - Tesla Pardubice - podpis smlouvy\Výběr na tiskové středisko\Revitalizace Tesla Pardubice_podpis smlouvy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26" cy="20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DA49" w14:textId="0BD6992D" w:rsidR="004E260B" w:rsidRPr="004E260B" w:rsidRDefault="005516F7" w:rsidP="007363D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16F7">
        <w:rPr>
          <w:rFonts w:asciiTheme="minorHAnsi" w:hAnsiTheme="minorHAnsi" w:cstheme="minorHAnsi"/>
          <w:i/>
          <w:sz w:val="22"/>
          <w:szCs w:val="22"/>
        </w:rPr>
        <w:t xml:space="preserve">Zleva: </w:t>
      </w:r>
      <w:proofErr w:type="spellStart"/>
      <w:r w:rsidRPr="005516F7">
        <w:rPr>
          <w:rFonts w:asciiTheme="minorHAnsi" w:hAnsiTheme="minorHAnsi" w:cstheme="minorHAnsi"/>
          <w:i/>
          <w:sz w:val="22"/>
          <w:szCs w:val="22"/>
        </w:rPr>
        <w:t>Clément</w:t>
      </w:r>
      <w:proofErr w:type="spellEnd"/>
      <w:r w:rsidRPr="005516F7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r w:rsidRPr="005516F7">
        <w:rPr>
          <w:rFonts w:asciiTheme="minorHAnsi" w:hAnsiTheme="minorHAnsi" w:cstheme="minorHAnsi"/>
          <w:i/>
          <w:sz w:val="22"/>
          <w:szCs w:val="22"/>
        </w:rPr>
        <w:t>Lageneste</w:t>
      </w:r>
      <w:proofErr w:type="spellEnd"/>
      <w:r w:rsidRPr="005516F7">
        <w:rPr>
          <w:rFonts w:asciiTheme="minorHAnsi" w:hAnsiTheme="minorHAnsi" w:cstheme="minorHAnsi"/>
          <w:i/>
          <w:sz w:val="22"/>
          <w:szCs w:val="22"/>
        </w:rPr>
        <w:t xml:space="preserve">, generální ředitel společnosti </w:t>
      </w:r>
      <w:proofErr w:type="spellStart"/>
      <w:r w:rsidRPr="005516F7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5516F7">
        <w:rPr>
          <w:rFonts w:asciiTheme="minorHAnsi" w:hAnsiTheme="minorHAnsi" w:cstheme="minorHAnsi"/>
          <w:i/>
          <w:sz w:val="22"/>
          <w:szCs w:val="22"/>
        </w:rPr>
        <w:t xml:space="preserve"> Czech Republic, Zdeněk Pokorný, předseda představenstva </w:t>
      </w:r>
      <w:proofErr w:type="spellStart"/>
      <w:r w:rsidRPr="005516F7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5516F7">
        <w:rPr>
          <w:rFonts w:asciiTheme="minorHAnsi" w:hAnsiTheme="minorHAnsi" w:cstheme="minorHAnsi"/>
          <w:i/>
          <w:sz w:val="22"/>
          <w:szCs w:val="22"/>
        </w:rPr>
        <w:t xml:space="preserve"> Czech Republic, primátor Pardubic Martin Charvát a náměstek primátora zodpovědný za oblast rozvoje a strategie Jan Nadrchal při podpisu smlouvy, která umožňuje zahájení rozsáhlé revitalizace městského brownfieldu v areálu Tesla Pardubice.</w:t>
      </w:r>
      <w:r w:rsidR="001B1B47">
        <w:rPr>
          <w:rFonts w:asciiTheme="minorHAnsi" w:hAnsiTheme="minorHAnsi" w:cstheme="minorHAnsi"/>
          <w:sz w:val="22"/>
          <w:szCs w:val="22"/>
        </w:rPr>
        <w:br/>
      </w:r>
      <w:r w:rsidR="001B1B47">
        <w:rPr>
          <w:rFonts w:asciiTheme="minorHAnsi" w:hAnsiTheme="minorHAnsi" w:cstheme="minorHAnsi"/>
          <w:b/>
          <w:sz w:val="22"/>
          <w:szCs w:val="22"/>
        </w:rPr>
        <w:br/>
      </w:r>
      <w:r w:rsidR="004E260B" w:rsidRPr="004E260B">
        <w:rPr>
          <w:rFonts w:asciiTheme="minorHAnsi" w:hAnsiTheme="minorHAnsi" w:cstheme="minorHAnsi"/>
          <w:b/>
          <w:sz w:val="22"/>
          <w:szCs w:val="22"/>
        </w:rPr>
        <w:t>Informace pro editory:</w:t>
      </w:r>
    </w:p>
    <w:p w14:paraId="125FFB88" w14:textId="62A588AD" w:rsidR="004E260B" w:rsidRPr="004E260B" w:rsidRDefault="004E260B" w:rsidP="007363DF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4E260B">
        <w:rPr>
          <w:rFonts w:asciiTheme="minorHAnsi" w:hAnsiTheme="minorHAnsi" w:cstheme="minorHAnsi"/>
          <w:b/>
          <w:i/>
          <w:sz w:val="22"/>
          <w:szCs w:val="22"/>
        </w:rPr>
        <w:t>Linkcity</w:t>
      </w:r>
      <w:proofErr w:type="spellEnd"/>
      <w:r w:rsidRPr="004E260B">
        <w:rPr>
          <w:rFonts w:asciiTheme="minorHAnsi" w:hAnsiTheme="minorHAnsi" w:cstheme="minorHAnsi"/>
          <w:b/>
          <w:i/>
          <w:sz w:val="22"/>
          <w:szCs w:val="22"/>
        </w:rPr>
        <w:t xml:space="preserve"> Czech Republic a. s.</w:t>
      </w:r>
      <w:r w:rsidRPr="004E260B">
        <w:rPr>
          <w:rFonts w:asciiTheme="minorHAnsi" w:hAnsiTheme="minorHAnsi" w:cstheme="minorHAnsi"/>
          <w:i/>
          <w:sz w:val="22"/>
          <w:szCs w:val="22"/>
        </w:rPr>
        <w:t xml:space="preserve"> je členem stavebního koncernu VCES a mezinárodní developerské sítě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, která patří do skupiny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Bouygues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 [čti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Bujk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].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Linkcity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 xml:space="preserve"> se zaměřuje na projektování, výstavbu, financování a údržbu komerčních a rezidenčních nemovitostí v 9 zemích západní a střední Evropy včetně České republiky a Slovenska. Využívá přitom pevného zázemí globální společnosti, které kombinuje s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4E260B">
        <w:rPr>
          <w:rFonts w:asciiTheme="minorHAnsi" w:hAnsiTheme="minorHAnsi" w:cstheme="minorHAnsi"/>
          <w:i/>
          <w:sz w:val="22"/>
          <w:szCs w:val="22"/>
        </w:rPr>
        <w:t xml:space="preserve">výbornou znalostí lokálních trhů. V oblasti rezidenční výstavby v České republice dosud realizovala více než 1 000 nových bytů v projektech, jako je například Rezidence </w:t>
      </w:r>
      <w:proofErr w:type="spellStart"/>
      <w:r w:rsidRPr="004E260B">
        <w:rPr>
          <w:rFonts w:asciiTheme="minorHAnsi" w:hAnsiTheme="minorHAnsi" w:cstheme="minorHAnsi"/>
          <w:i/>
          <w:sz w:val="22"/>
          <w:szCs w:val="22"/>
        </w:rPr>
        <w:t>Chrudimpark</w:t>
      </w:r>
      <w:proofErr w:type="spellEnd"/>
      <w:r w:rsidRPr="004E260B">
        <w:rPr>
          <w:rFonts w:asciiTheme="minorHAnsi" w:hAnsiTheme="minorHAnsi" w:cstheme="minorHAnsi"/>
          <w:i/>
          <w:sz w:val="22"/>
          <w:szCs w:val="22"/>
        </w:rPr>
        <w:t>, Oáza Michle, Top House Wellnerova v Olomouci nebo Bytový dům Harfa v Praze.</w:t>
      </w:r>
    </w:p>
    <w:p w14:paraId="547EDA7E" w14:textId="61607C4F" w:rsidR="004E260B" w:rsidRPr="004E260B" w:rsidRDefault="004E260B" w:rsidP="007363DF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4E260B">
        <w:rPr>
          <w:rStyle w:val="Siln"/>
          <w:rFonts w:asciiTheme="minorHAnsi" w:hAnsiTheme="minorHAnsi"/>
          <w:sz w:val="22"/>
          <w:szCs w:val="22"/>
        </w:rPr>
        <w:t>Pro více informací kontaktujte:</w:t>
      </w:r>
    </w:p>
    <w:p w14:paraId="2190E8AB" w14:textId="77777777" w:rsidR="004E260B" w:rsidRPr="004E260B" w:rsidRDefault="004E260B" w:rsidP="007363DF">
      <w:pPr>
        <w:pStyle w:val="Normlnweb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proofErr w:type="spellStart"/>
      <w:r w:rsidRPr="004E260B">
        <w:rPr>
          <w:rStyle w:val="Siln"/>
          <w:rFonts w:asciiTheme="minorHAnsi" w:hAnsiTheme="minorHAnsi"/>
          <w:sz w:val="22"/>
          <w:szCs w:val="22"/>
        </w:rPr>
        <w:t>Crest</w:t>
      </w:r>
      <w:proofErr w:type="spellEnd"/>
      <w:r w:rsidRPr="004E260B">
        <w:rPr>
          <w:rStyle w:val="Siln"/>
          <w:rFonts w:asciiTheme="minorHAnsi" w:hAnsiTheme="minorHAnsi"/>
          <w:sz w:val="22"/>
          <w:szCs w:val="22"/>
        </w:rPr>
        <w:t xml:space="preserve"> Communications, a.s.</w:t>
      </w:r>
      <w:r w:rsidRPr="004E260B">
        <w:rPr>
          <w:rStyle w:val="Siln"/>
          <w:rFonts w:asciiTheme="minorHAnsi" w:hAnsiTheme="minorHAnsi"/>
          <w:sz w:val="22"/>
          <w:szCs w:val="22"/>
        </w:rPr>
        <w:br/>
      </w:r>
      <w:r w:rsidRPr="004E260B">
        <w:rPr>
          <w:rFonts w:asciiTheme="minorHAnsi" w:hAnsiTheme="minorHAnsi"/>
          <w:sz w:val="22"/>
          <w:szCs w:val="22"/>
        </w:rPr>
        <w:t>Denisa Kolaříková</w:t>
      </w:r>
      <w:r w:rsidRPr="004E260B">
        <w:rPr>
          <w:rFonts w:asciiTheme="minorHAnsi" w:hAnsiTheme="minorHAnsi"/>
          <w:sz w:val="22"/>
          <w:szCs w:val="22"/>
        </w:rPr>
        <w:br/>
      </w:r>
      <w:proofErr w:type="spellStart"/>
      <w:r w:rsidRPr="004E260B">
        <w:rPr>
          <w:rFonts w:asciiTheme="minorHAnsi" w:hAnsiTheme="minorHAnsi"/>
          <w:sz w:val="22"/>
          <w:szCs w:val="22"/>
        </w:rPr>
        <w:t>Account</w:t>
      </w:r>
      <w:proofErr w:type="spellEnd"/>
      <w:r w:rsidRPr="004E260B">
        <w:rPr>
          <w:rFonts w:asciiTheme="minorHAnsi" w:hAnsiTheme="minorHAnsi"/>
          <w:sz w:val="22"/>
          <w:szCs w:val="22"/>
        </w:rPr>
        <w:t xml:space="preserve"> Manager</w:t>
      </w:r>
      <w:r w:rsidRPr="004E260B">
        <w:rPr>
          <w:rFonts w:asciiTheme="minorHAnsi" w:hAnsiTheme="minorHAnsi"/>
          <w:sz w:val="22"/>
          <w:szCs w:val="22"/>
        </w:rPr>
        <w:br/>
      </w:r>
      <w:proofErr w:type="spellStart"/>
      <w:r w:rsidRPr="004E260B">
        <w:rPr>
          <w:rFonts w:asciiTheme="minorHAnsi" w:hAnsiTheme="minorHAnsi"/>
          <w:sz w:val="22"/>
          <w:szCs w:val="22"/>
        </w:rPr>
        <w:lastRenderedPageBreak/>
        <w:t>Gsm</w:t>
      </w:r>
      <w:proofErr w:type="spellEnd"/>
      <w:r w:rsidRPr="004E260B">
        <w:rPr>
          <w:rFonts w:asciiTheme="minorHAnsi" w:hAnsiTheme="minorHAnsi"/>
          <w:sz w:val="22"/>
          <w:szCs w:val="22"/>
        </w:rPr>
        <w:t>: +420 731 613 606</w:t>
      </w:r>
      <w:r w:rsidRPr="004E260B">
        <w:rPr>
          <w:rFonts w:asciiTheme="minorHAnsi" w:hAnsiTheme="minorHAnsi"/>
          <w:sz w:val="22"/>
          <w:szCs w:val="22"/>
        </w:rPr>
        <w:br/>
        <w:t xml:space="preserve">email: </w:t>
      </w:r>
      <w:hyperlink r:id="rId17" w:history="1">
        <w:r w:rsidRPr="004E260B">
          <w:rPr>
            <w:rStyle w:val="Hypertextovodkaz"/>
            <w:rFonts w:asciiTheme="minorHAnsi" w:hAnsiTheme="minorHAnsi"/>
            <w:sz w:val="22"/>
            <w:szCs w:val="22"/>
          </w:rPr>
          <w:t>denisa.kolarikova@crestcom.cz</w:t>
        </w:r>
      </w:hyperlink>
      <w:r w:rsidRPr="004E260B">
        <w:rPr>
          <w:rFonts w:asciiTheme="minorHAnsi" w:hAnsiTheme="minorHAnsi"/>
          <w:sz w:val="22"/>
          <w:szCs w:val="22"/>
        </w:rPr>
        <w:br/>
      </w:r>
      <w:hyperlink r:id="rId18" w:history="1">
        <w:r w:rsidRPr="004E260B">
          <w:rPr>
            <w:rStyle w:val="Hypertextovodkaz"/>
            <w:rFonts w:asciiTheme="minorHAnsi" w:hAnsiTheme="minorHAnsi"/>
            <w:sz w:val="22"/>
            <w:szCs w:val="22"/>
          </w:rPr>
          <w:t>www.crestcom.cz</w:t>
        </w:r>
      </w:hyperlink>
    </w:p>
    <w:p w14:paraId="4F3ABA3E" w14:textId="77777777" w:rsidR="004E260B" w:rsidRPr="004E260B" w:rsidRDefault="004E260B" w:rsidP="007363DF">
      <w:pPr>
        <w:pStyle w:val="Normlnweb"/>
        <w:rPr>
          <w:rFonts w:asciiTheme="minorHAnsi" w:hAnsiTheme="minorHAnsi"/>
          <w:sz w:val="22"/>
          <w:szCs w:val="22"/>
        </w:rPr>
      </w:pPr>
      <w:r w:rsidRPr="004E260B">
        <w:rPr>
          <w:rFonts w:asciiTheme="minorHAnsi" w:hAnsiTheme="minorHAnsi"/>
          <w:sz w:val="22"/>
          <w:szCs w:val="22"/>
        </w:rPr>
        <w:t>Kamila Čadková</w:t>
      </w:r>
      <w:r w:rsidRPr="004E260B">
        <w:rPr>
          <w:rFonts w:asciiTheme="minorHAnsi" w:hAnsiTheme="minorHAnsi"/>
          <w:sz w:val="22"/>
          <w:szCs w:val="22"/>
        </w:rPr>
        <w:br/>
      </w:r>
      <w:proofErr w:type="spellStart"/>
      <w:r w:rsidRPr="004E260B">
        <w:rPr>
          <w:rFonts w:asciiTheme="minorHAnsi" w:hAnsiTheme="minorHAnsi"/>
          <w:sz w:val="22"/>
          <w:szCs w:val="22"/>
        </w:rPr>
        <w:t>Account</w:t>
      </w:r>
      <w:proofErr w:type="spellEnd"/>
      <w:r w:rsidRPr="004E26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E260B">
        <w:rPr>
          <w:rFonts w:asciiTheme="minorHAnsi" w:hAnsiTheme="minorHAnsi"/>
          <w:sz w:val="22"/>
          <w:szCs w:val="22"/>
        </w:rPr>
        <w:t>Director</w:t>
      </w:r>
      <w:proofErr w:type="spellEnd"/>
      <w:r w:rsidRPr="004E260B">
        <w:rPr>
          <w:rFonts w:asciiTheme="minorHAnsi" w:hAnsiTheme="minorHAnsi"/>
          <w:sz w:val="22"/>
          <w:szCs w:val="22"/>
        </w:rPr>
        <w:br/>
      </w:r>
      <w:proofErr w:type="spellStart"/>
      <w:r w:rsidRPr="004E260B">
        <w:rPr>
          <w:rFonts w:asciiTheme="minorHAnsi" w:hAnsiTheme="minorHAnsi"/>
          <w:sz w:val="22"/>
          <w:szCs w:val="22"/>
        </w:rPr>
        <w:t>Gsm</w:t>
      </w:r>
      <w:proofErr w:type="spellEnd"/>
      <w:r w:rsidRPr="004E260B">
        <w:rPr>
          <w:rFonts w:asciiTheme="minorHAnsi" w:hAnsiTheme="minorHAnsi"/>
          <w:sz w:val="22"/>
          <w:szCs w:val="22"/>
        </w:rPr>
        <w:t>: +420 731 613 609</w:t>
      </w:r>
      <w:r w:rsidRPr="004E260B">
        <w:rPr>
          <w:rFonts w:asciiTheme="minorHAnsi" w:hAnsiTheme="minorHAnsi"/>
          <w:sz w:val="22"/>
          <w:szCs w:val="22"/>
        </w:rPr>
        <w:br/>
        <w:t xml:space="preserve">email: </w:t>
      </w:r>
      <w:hyperlink r:id="rId19" w:history="1">
        <w:r w:rsidRPr="004E260B">
          <w:rPr>
            <w:rStyle w:val="Hypertextovodkaz"/>
            <w:rFonts w:asciiTheme="minorHAnsi" w:hAnsiTheme="minorHAnsi"/>
            <w:sz w:val="22"/>
            <w:szCs w:val="22"/>
          </w:rPr>
          <w:t>kamila.cadkova@crestcom.cz</w:t>
        </w:r>
      </w:hyperlink>
      <w:r w:rsidRPr="004E260B">
        <w:rPr>
          <w:rFonts w:asciiTheme="minorHAnsi" w:hAnsiTheme="minorHAnsi"/>
          <w:sz w:val="22"/>
          <w:szCs w:val="22"/>
        </w:rPr>
        <w:br/>
      </w:r>
      <w:hyperlink r:id="rId20" w:history="1">
        <w:r w:rsidRPr="004E260B">
          <w:rPr>
            <w:rStyle w:val="Hypertextovodkaz"/>
            <w:rFonts w:asciiTheme="minorHAnsi" w:hAnsiTheme="minorHAnsi"/>
            <w:sz w:val="22"/>
            <w:szCs w:val="22"/>
          </w:rPr>
          <w:t>www.crestcom.cz</w:t>
        </w:r>
      </w:hyperlink>
    </w:p>
    <w:p w14:paraId="047D42F8" w14:textId="77777777" w:rsidR="004E260B" w:rsidRDefault="004E260B" w:rsidP="00701DF5"/>
    <w:p w14:paraId="1A116532" w14:textId="77777777" w:rsidR="004E260B" w:rsidRDefault="004E260B" w:rsidP="00701DF5"/>
    <w:p w14:paraId="19324633" w14:textId="77777777" w:rsidR="00D93148" w:rsidRPr="002D7A6D" w:rsidRDefault="00D93148" w:rsidP="006C3D7C">
      <w:pPr>
        <w:rPr>
          <w:rFonts w:asciiTheme="minorHAnsi" w:hAnsiTheme="minorHAnsi" w:cstheme="minorHAnsi"/>
          <w:sz w:val="22"/>
          <w:szCs w:val="22"/>
        </w:rPr>
      </w:pPr>
    </w:p>
    <w:sectPr w:rsidR="00D93148" w:rsidRPr="002D7A6D" w:rsidSect="00FE0A2D">
      <w:type w:val="continuous"/>
      <w:pgSz w:w="11907" w:h="16840" w:code="9"/>
      <w:pgMar w:top="1560" w:right="1304" w:bottom="2381" w:left="1304" w:header="0" w:footer="252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0347D" w14:textId="77777777" w:rsidR="008B2960" w:rsidRDefault="008B2960">
      <w:r>
        <w:separator/>
      </w:r>
    </w:p>
  </w:endnote>
  <w:endnote w:type="continuationSeparator" w:id="0">
    <w:p w14:paraId="0E94BB0B" w14:textId="77777777" w:rsidR="008B2960" w:rsidRDefault="008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Times New Roman"/>
    <w:charset w:val="EE"/>
    <w:family w:val="roman"/>
    <w:pitch w:val="default"/>
  </w:font>
  <w:font w:name="Arial MT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AC2E" w14:textId="77777777" w:rsidR="00107F98" w:rsidRDefault="00107F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2403D" w14:textId="77777777" w:rsidR="00107F98" w:rsidRDefault="00107F9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2D16" w14:textId="77777777" w:rsidR="00107F98" w:rsidRDefault="00107F98" w:rsidP="004B46C5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 w:rsidR="005516F7">
      <w:rPr>
        <w:rFonts w:ascii="Calibri" w:hAnsi="Calibri" w:cs="Calibri"/>
        <w:noProof/>
        <w:color w:val="808080"/>
        <w:sz w:val="20"/>
        <w:szCs w:val="20"/>
      </w:rPr>
      <w:t>2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begin"/>
    </w:r>
    <w:r w:rsidR="003A44E6">
      <w:rPr>
        <w:rFonts w:ascii="Calibri" w:hAnsi="Calibri" w:cs="Calibri"/>
        <w:noProof/>
        <w:color w:val="808080"/>
        <w:sz w:val="20"/>
        <w:szCs w:val="20"/>
      </w:rPr>
      <w:instrText xml:space="preserve"> NUMPAGES   \* MERGEFORMAT </w:instrTex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separate"/>
    </w:r>
    <w:r w:rsidR="005516F7">
      <w:rPr>
        <w:rFonts w:ascii="Calibri" w:hAnsi="Calibri" w:cs="Calibri"/>
        <w:noProof/>
        <w:color w:val="808080"/>
        <w:sz w:val="20"/>
        <w:szCs w:val="20"/>
      </w:rPr>
      <w:t>3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71A16607" w14:textId="77777777" w:rsidR="00107F98" w:rsidRDefault="00107F9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807E" w14:textId="77777777" w:rsidR="00107F98" w:rsidRDefault="00107F98" w:rsidP="00845954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begin"/>
    </w:r>
    <w:r w:rsidR="003A44E6">
      <w:rPr>
        <w:rFonts w:ascii="Calibri" w:hAnsi="Calibri" w:cs="Calibri"/>
        <w:noProof/>
        <w:color w:val="808080"/>
        <w:sz w:val="20"/>
        <w:szCs w:val="20"/>
      </w:rPr>
      <w:instrText xml:space="preserve"> NUMPAGES   \* MERGEFORMAT </w:instrTex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separate"/>
    </w:r>
    <w:r w:rsidR="006E69BB">
      <w:rPr>
        <w:rFonts w:ascii="Calibri" w:hAnsi="Calibri" w:cs="Calibri"/>
        <w:noProof/>
        <w:color w:val="808080"/>
        <w:sz w:val="20"/>
        <w:szCs w:val="20"/>
      </w:rPr>
      <w:t>1</w:t>
    </w:r>
    <w:r w:rsidR="003A44E6">
      <w:rPr>
        <w:rFonts w:ascii="Calibri" w:hAnsi="Calibri" w:cs="Calibri"/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EB03" w14:textId="77777777" w:rsidR="008B2960" w:rsidRDefault="008B2960">
      <w:r>
        <w:separator/>
      </w:r>
    </w:p>
  </w:footnote>
  <w:footnote w:type="continuationSeparator" w:id="0">
    <w:p w14:paraId="5D0AA454" w14:textId="77777777" w:rsidR="008B2960" w:rsidRDefault="008B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E3474"/>
    <w:multiLevelType w:val="hybridMultilevel"/>
    <w:tmpl w:val="E5E05FCC"/>
    <w:lvl w:ilvl="0" w:tplc="CA0840E8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F0"/>
    <w:rsid w:val="00011A79"/>
    <w:rsid w:val="000168C7"/>
    <w:rsid w:val="00022125"/>
    <w:rsid w:val="000603EF"/>
    <w:rsid w:val="00073D50"/>
    <w:rsid w:val="000A329E"/>
    <w:rsid w:val="000A7A4F"/>
    <w:rsid w:val="000B11D9"/>
    <w:rsid w:val="000C0A0D"/>
    <w:rsid w:val="000C1BB7"/>
    <w:rsid w:val="000C585B"/>
    <w:rsid w:val="000F1B9C"/>
    <w:rsid w:val="000F2EC5"/>
    <w:rsid w:val="000F65B5"/>
    <w:rsid w:val="00107F98"/>
    <w:rsid w:val="00114E89"/>
    <w:rsid w:val="001275FC"/>
    <w:rsid w:val="001638C9"/>
    <w:rsid w:val="00174E38"/>
    <w:rsid w:val="00177A36"/>
    <w:rsid w:val="0018120C"/>
    <w:rsid w:val="001A57EE"/>
    <w:rsid w:val="001A6D4F"/>
    <w:rsid w:val="001B0F91"/>
    <w:rsid w:val="001B1B47"/>
    <w:rsid w:val="001D3F40"/>
    <w:rsid w:val="0020076A"/>
    <w:rsid w:val="0021330D"/>
    <w:rsid w:val="00213A0B"/>
    <w:rsid w:val="002160A3"/>
    <w:rsid w:val="00234E5D"/>
    <w:rsid w:val="00235E2C"/>
    <w:rsid w:val="002419A5"/>
    <w:rsid w:val="00250D44"/>
    <w:rsid w:val="00262640"/>
    <w:rsid w:val="00287716"/>
    <w:rsid w:val="00291D00"/>
    <w:rsid w:val="00294B1F"/>
    <w:rsid w:val="002A1519"/>
    <w:rsid w:val="002A26AF"/>
    <w:rsid w:val="002A4A0C"/>
    <w:rsid w:val="002C0F75"/>
    <w:rsid w:val="002D73DF"/>
    <w:rsid w:val="002D7A6D"/>
    <w:rsid w:val="002E220F"/>
    <w:rsid w:val="002E3481"/>
    <w:rsid w:val="002E3515"/>
    <w:rsid w:val="002F57B3"/>
    <w:rsid w:val="0030323C"/>
    <w:rsid w:val="003121A9"/>
    <w:rsid w:val="00321306"/>
    <w:rsid w:val="00323A4A"/>
    <w:rsid w:val="003268F3"/>
    <w:rsid w:val="003306E1"/>
    <w:rsid w:val="00341E33"/>
    <w:rsid w:val="00395EFE"/>
    <w:rsid w:val="0039771A"/>
    <w:rsid w:val="003A44E6"/>
    <w:rsid w:val="003A5004"/>
    <w:rsid w:val="003B20D6"/>
    <w:rsid w:val="003D01FD"/>
    <w:rsid w:val="003D0A5D"/>
    <w:rsid w:val="003E219B"/>
    <w:rsid w:val="003E2EF4"/>
    <w:rsid w:val="003E46D7"/>
    <w:rsid w:val="004077CA"/>
    <w:rsid w:val="00423598"/>
    <w:rsid w:val="004341C5"/>
    <w:rsid w:val="00434381"/>
    <w:rsid w:val="00441CAF"/>
    <w:rsid w:val="00455CA4"/>
    <w:rsid w:val="00462051"/>
    <w:rsid w:val="00464FFE"/>
    <w:rsid w:val="00472AED"/>
    <w:rsid w:val="00474F94"/>
    <w:rsid w:val="00480B4F"/>
    <w:rsid w:val="004859DC"/>
    <w:rsid w:val="004A275C"/>
    <w:rsid w:val="004A7460"/>
    <w:rsid w:val="004B20AE"/>
    <w:rsid w:val="004B46C5"/>
    <w:rsid w:val="004C21DE"/>
    <w:rsid w:val="004D142B"/>
    <w:rsid w:val="004E260B"/>
    <w:rsid w:val="004E564B"/>
    <w:rsid w:val="004E7A81"/>
    <w:rsid w:val="004F29A3"/>
    <w:rsid w:val="004F3415"/>
    <w:rsid w:val="005113F5"/>
    <w:rsid w:val="00521450"/>
    <w:rsid w:val="005254F6"/>
    <w:rsid w:val="00527E02"/>
    <w:rsid w:val="005336ED"/>
    <w:rsid w:val="00537712"/>
    <w:rsid w:val="005516F3"/>
    <w:rsid w:val="005516F7"/>
    <w:rsid w:val="00562ADD"/>
    <w:rsid w:val="00580EFC"/>
    <w:rsid w:val="00586F18"/>
    <w:rsid w:val="00587593"/>
    <w:rsid w:val="00587626"/>
    <w:rsid w:val="005A33F7"/>
    <w:rsid w:val="005B31C1"/>
    <w:rsid w:val="005B3E7C"/>
    <w:rsid w:val="005D07E8"/>
    <w:rsid w:val="005D3261"/>
    <w:rsid w:val="005E4C39"/>
    <w:rsid w:val="00613BA9"/>
    <w:rsid w:val="0062490D"/>
    <w:rsid w:val="0064166A"/>
    <w:rsid w:val="00656817"/>
    <w:rsid w:val="00657AEC"/>
    <w:rsid w:val="006631EF"/>
    <w:rsid w:val="00670AED"/>
    <w:rsid w:val="00690689"/>
    <w:rsid w:val="00690EF6"/>
    <w:rsid w:val="00697C3D"/>
    <w:rsid w:val="006B12EF"/>
    <w:rsid w:val="006B3255"/>
    <w:rsid w:val="006C09F0"/>
    <w:rsid w:val="006C3D7C"/>
    <w:rsid w:val="006D1FE6"/>
    <w:rsid w:val="006E2989"/>
    <w:rsid w:val="006E69BB"/>
    <w:rsid w:val="006F40A9"/>
    <w:rsid w:val="00701DF5"/>
    <w:rsid w:val="00704D9D"/>
    <w:rsid w:val="00712234"/>
    <w:rsid w:val="00713CAB"/>
    <w:rsid w:val="0071549A"/>
    <w:rsid w:val="007363DF"/>
    <w:rsid w:val="00740E9B"/>
    <w:rsid w:val="00756C84"/>
    <w:rsid w:val="00773425"/>
    <w:rsid w:val="0079319C"/>
    <w:rsid w:val="007958A3"/>
    <w:rsid w:val="007A7F61"/>
    <w:rsid w:val="007B3899"/>
    <w:rsid w:val="007C4EF3"/>
    <w:rsid w:val="007D34D0"/>
    <w:rsid w:val="007E1AA9"/>
    <w:rsid w:val="007E3EC5"/>
    <w:rsid w:val="007F6DDD"/>
    <w:rsid w:val="007F71F2"/>
    <w:rsid w:val="007F7569"/>
    <w:rsid w:val="00802ECA"/>
    <w:rsid w:val="00804FE4"/>
    <w:rsid w:val="008212D0"/>
    <w:rsid w:val="008427EE"/>
    <w:rsid w:val="008444E5"/>
    <w:rsid w:val="00845954"/>
    <w:rsid w:val="008504CB"/>
    <w:rsid w:val="00854B10"/>
    <w:rsid w:val="008A00DE"/>
    <w:rsid w:val="008A5635"/>
    <w:rsid w:val="008B0D39"/>
    <w:rsid w:val="008B2960"/>
    <w:rsid w:val="008E39BD"/>
    <w:rsid w:val="009214EA"/>
    <w:rsid w:val="00923BE4"/>
    <w:rsid w:val="0093101E"/>
    <w:rsid w:val="00940B37"/>
    <w:rsid w:val="009708F6"/>
    <w:rsid w:val="00980317"/>
    <w:rsid w:val="009E3459"/>
    <w:rsid w:val="009F4EE2"/>
    <w:rsid w:val="00A04CF7"/>
    <w:rsid w:val="00A052EF"/>
    <w:rsid w:val="00A313C9"/>
    <w:rsid w:val="00A62FB3"/>
    <w:rsid w:val="00A87816"/>
    <w:rsid w:val="00A91A50"/>
    <w:rsid w:val="00A961F4"/>
    <w:rsid w:val="00AA2058"/>
    <w:rsid w:val="00AA521F"/>
    <w:rsid w:val="00AC7FD7"/>
    <w:rsid w:val="00AE03DB"/>
    <w:rsid w:val="00AE4F48"/>
    <w:rsid w:val="00B02207"/>
    <w:rsid w:val="00B13949"/>
    <w:rsid w:val="00B1786C"/>
    <w:rsid w:val="00B51626"/>
    <w:rsid w:val="00B63870"/>
    <w:rsid w:val="00B64B16"/>
    <w:rsid w:val="00B902CE"/>
    <w:rsid w:val="00BB0EBF"/>
    <w:rsid w:val="00BD4BFF"/>
    <w:rsid w:val="00BE375A"/>
    <w:rsid w:val="00BF1FE6"/>
    <w:rsid w:val="00BF2025"/>
    <w:rsid w:val="00C00D97"/>
    <w:rsid w:val="00C13430"/>
    <w:rsid w:val="00C21197"/>
    <w:rsid w:val="00C214E2"/>
    <w:rsid w:val="00C41A8E"/>
    <w:rsid w:val="00C4733C"/>
    <w:rsid w:val="00C55F70"/>
    <w:rsid w:val="00C6486E"/>
    <w:rsid w:val="00C7085D"/>
    <w:rsid w:val="00C816EE"/>
    <w:rsid w:val="00C96CA7"/>
    <w:rsid w:val="00C97E98"/>
    <w:rsid w:val="00CA58A7"/>
    <w:rsid w:val="00CA7AC6"/>
    <w:rsid w:val="00CB39CE"/>
    <w:rsid w:val="00CB6387"/>
    <w:rsid w:val="00CC0DA7"/>
    <w:rsid w:val="00CC12FB"/>
    <w:rsid w:val="00CC59DA"/>
    <w:rsid w:val="00CC638C"/>
    <w:rsid w:val="00CD40BE"/>
    <w:rsid w:val="00CD4F4E"/>
    <w:rsid w:val="00CE4ADE"/>
    <w:rsid w:val="00CF0421"/>
    <w:rsid w:val="00CF6C70"/>
    <w:rsid w:val="00D0012F"/>
    <w:rsid w:val="00D0595A"/>
    <w:rsid w:val="00D30E3E"/>
    <w:rsid w:val="00D34074"/>
    <w:rsid w:val="00D43BC0"/>
    <w:rsid w:val="00D50989"/>
    <w:rsid w:val="00D56B2C"/>
    <w:rsid w:val="00D57C5A"/>
    <w:rsid w:val="00D731D2"/>
    <w:rsid w:val="00D75442"/>
    <w:rsid w:val="00D77342"/>
    <w:rsid w:val="00D83601"/>
    <w:rsid w:val="00D86D5A"/>
    <w:rsid w:val="00D8729A"/>
    <w:rsid w:val="00D92E60"/>
    <w:rsid w:val="00D93148"/>
    <w:rsid w:val="00D9656E"/>
    <w:rsid w:val="00DA1B30"/>
    <w:rsid w:val="00DA1F7D"/>
    <w:rsid w:val="00DA6DBA"/>
    <w:rsid w:val="00DB1210"/>
    <w:rsid w:val="00DD2E64"/>
    <w:rsid w:val="00DE1D3A"/>
    <w:rsid w:val="00DE2F0D"/>
    <w:rsid w:val="00DF09F9"/>
    <w:rsid w:val="00DF2BFC"/>
    <w:rsid w:val="00DF359F"/>
    <w:rsid w:val="00E10CFF"/>
    <w:rsid w:val="00E26811"/>
    <w:rsid w:val="00E31600"/>
    <w:rsid w:val="00E54B5B"/>
    <w:rsid w:val="00E57FF7"/>
    <w:rsid w:val="00E75AF6"/>
    <w:rsid w:val="00E805B7"/>
    <w:rsid w:val="00E91E22"/>
    <w:rsid w:val="00EA0FC8"/>
    <w:rsid w:val="00EA187A"/>
    <w:rsid w:val="00EA4DF7"/>
    <w:rsid w:val="00ED3B61"/>
    <w:rsid w:val="00EF3F92"/>
    <w:rsid w:val="00EF57BD"/>
    <w:rsid w:val="00F07883"/>
    <w:rsid w:val="00F10E0A"/>
    <w:rsid w:val="00F10FB5"/>
    <w:rsid w:val="00F129F0"/>
    <w:rsid w:val="00F13802"/>
    <w:rsid w:val="00F24B30"/>
    <w:rsid w:val="00F33BEF"/>
    <w:rsid w:val="00F37E00"/>
    <w:rsid w:val="00F37F45"/>
    <w:rsid w:val="00F47B78"/>
    <w:rsid w:val="00F57615"/>
    <w:rsid w:val="00F751FC"/>
    <w:rsid w:val="00F8024F"/>
    <w:rsid w:val="00F954B1"/>
    <w:rsid w:val="00FB4A0B"/>
    <w:rsid w:val="00FC2AD4"/>
    <w:rsid w:val="00FC33B8"/>
    <w:rsid w:val="00FD395C"/>
    <w:rsid w:val="00FD5049"/>
    <w:rsid w:val="00FE0A2D"/>
    <w:rsid w:val="00FE320E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84A4A"/>
  <w15:docId w15:val="{660A258C-78B8-492B-8670-A946D6EC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rPr>
      <w:rFonts w:cs="Garamond Itc TOT"/>
      <w:color w:val="C5181E"/>
      <w:sz w:val="36"/>
      <w:szCs w:val="36"/>
    </w:rPr>
  </w:style>
  <w:style w:type="paragraph" w:customStyle="1" w:styleId="Pa1">
    <w:name w:val="Pa1"/>
    <w:basedOn w:val="Default"/>
    <w:next w:val="Default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rPr>
      <w:rFonts w:cs="Garamond Itc TOT"/>
      <w:color w:val="C5181E"/>
      <w:sz w:val="30"/>
      <w:szCs w:val="30"/>
    </w:rPr>
  </w:style>
  <w:style w:type="character" w:customStyle="1" w:styleId="A3">
    <w:name w:val="A3"/>
    <w:rPr>
      <w:rFonts w:cs="Garamond Itc TOT"/>
      <w:color w:val="221E1F"/>
      <w:sz w:val="18"/>
      <w:szCs w:val="18"/>
    </w:rPr>
  </w:style>
  <w:style w:type="paragraph" w:customStyle="1" w:styleId="Pa2">
    <w:name w:val="Pa2"/>
    <w:basedOn w:val="Default"/>
    <w:next w:val="Default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Pr>
      <w:rFonts w:cs="Garamond Itc TOT"/>
      <w:color w:val="221E1F"/>
      <w:sz w:val="14"/>
      <w:szCs w:val="14"/>
    </w:rPr>
  </w:style>
  <w:style w:type="character" w:customStyle="1" w:styleId="A5">
    <w:name w:val="A5"/>
    <w:rPr>
      <w:rFonts w:ascii="Arial MT" w:hAnsi="Arial MT" w:cs="Arial MT"/>
      <w:color w:val="221E1F"/>
      <w:sz w:val="16"/>
      <w:szCs w:val="16"/>
    </w:rPr>
  </w:style>
  <w:style w:type="character" w:customStyle="1" w:styleId="A6">
    <w:name w:val="A6"/>
    <w:rPr>
      <w:rFonts w:ascii="Arial MT" w:hAnsi="Arial MT" w:cs="Arial MT"/>
      <w:color w:val="221E1F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">
    <w:name w:val="Body Text"/>
    <w:basedOn w:val="Normln"/>
    <w:link w:val="ZkladntextChar"/>
    <w:rsid w:val="00395EF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395EFE"/>
    <w:rPr>
      <w:rFonts w:ascii="Arial" w:hAnsi="Arial"/>
      <w:sz w:val="24"/>
      <w:szCs w:val="24"/>
    </w:rPr>
  </w:style>
  <w:style w:type="paragraph" w:styleId="Bezmezer">
    <w:name w:val="No Spacing"/>
    <w:uiPriority w:val="1"/>
    <w:qFormat/>
    <w:rsid w:val="00395EFE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95EFE"/>
    <w:rPr>
      <w:b/>
      <w:bCs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1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50989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2A26AF"/>
  </w:style>
  <w:style w:type="paragraph" w:styleId="Odstavecseseznamem">
    <w:name w:val="List Paragraph"/>
    <w:basedOn w:val="Normln"/>
    <w:uiPriority w:val="34"/>
    <w:qFormat/>
    <w:rsid w:val="007B389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D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crestcom.cz/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crestcom.cz/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p\Mustr%20T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1A3A84C23964A843E035B09DC6064" ma:contentTypeVersion="1" ma:contentTypeDescription="Vytvořit nový dokument" ma:contentTypeScope="" ma:versionID="73a7b83243fce1ab632b5ce05fcf559f">
  <xsd:schema xmlns:xsd="http://www.w3.org/2001/XMLSchema" xmlns:p="http://schemas.microsoft.com/office/2006/metadata/properties" xmlns:ns2="e2d8f923-a80e-473f-a140-b958c44b963e" targetNamespace="http://schemas.microsoft.com/office/2006/metadata/properties" ma:root="true" ma:fieldsID="b5ce45f0fbcc1b15c7d2e5129361087f" ns2:_="">
    <xsd:import namespace="e2d8f923-a80e-473f-a140-b958c44b963e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2d8f923-a80e-473f-a140-b958c44b963e" elementFormDefault="qualified">
    <xsd:import namespace="http://schemas.microsoft.com/office/2006/documentManagement/types"/>
    <xsd:element name="Priorita" ma:index="8" nillable="true" ma:displayName="Priorita" ma:decimals="0" ma:default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iorita xmlns="e2d8f923-a80e-473f-a140-b958c44b963e">0</Priorita>
  </documentManagement>
</p:properties>
</file>

<file path=customXml/itemProps1.xml><?xml version="1.0" encoding="utf-8"?>
<ds:datastoreItem xmlns:ds="http://schemas.openxmlformats.org/officeDocument/2006/customXml" ds:itemID="{B2EC795F-C794-480B-B370-5BC7E8CBF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B3C09-80F5-4F23-BF66-721A027D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8f923-a80e-473f-a140-b958c44b96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3BE8B7-14A9-4E7E-84E6-C329FE650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5AE10-612E-4D71-83E4-3611F3358EFF}">
  <ds:schemaRefs>
    <ds:schemaRef ds:uri="http://schemas.microsoft.com/office/2006/metadata/properties"/>
    <ds:schemaRef ds:uri="e2d8f923-a80e-473f-a140-b958c44b9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TZ</Template>
  <TotalTime>35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Pardubice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Kosíková Pavla</dc:creator>
  <cp:lastModifiedBy>Tereza Štosová</cp:lastModifiedBy>
  <cp:revision>7</cp:revision>
  <cp:lastPrinted>2020-12-07T10:19:00Z</cp:lastPrinted>
  <dcterms:created xsi:type="dcterms:W3CDTF">2021-03-22T14:16:00Z</dcterms:created>
  <dcterms:modified xsi:type="dcterms:W3CDTF">2021-03-23T12:49:00Z</dcterms:modified>
</cp:coreProperties>
</file>